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1200"/>
        <w:jc w:val="center"/>
      </w:pPr>
      <w:r>
        <w:drawing>
          <wp:inline distT="0" distB="0" distL="0" distR="0">
            <wp:extent cx="1143000" cy="1143000"/>
            <wp:effectExtent t="0" r="0" b="0" l="0"/>
            <wp:docPr id="1" name="mimosa" descr="Pictogramme Mimosa" title="Mimo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0" cy="1143000"/>
                    </a:xfrm>
                    <a:prstGeom prst="rect">
                      <a:avLst/>
                    </a:prstGeom>
                  </pic:spPr>
                </pic:pic>
              </a:graphicData>
            </a:graphic>
          </wp:inline>
        </w:drawing>
      </w:r>
    </w:p>
    <w:p>
      <w:pPr>
        <w:spacing w:after="200"/>
        <w:jc w:val="center"/>
      </w:pPr>
      <w:r>
        <w:rPr>
          <w:rFonts w:ascii="Montserrat" w:cs="Montserrat" w:eastAsia="Montserrat" w:hAnsi="Montserrat"/>
          <w:b/>
          <w:bCs/>
          <w:color w:val="0B302A"/>
          <w:sz w:val="72"/>
          <w:szCs w:val="72"/>
        </w:rPr>
        <w:t xml:space="preserve">Handiquizz</w:t>
      </w:r>
    </w:p>
    <w:p>
      <w:pPr>
        <w:spacing w:after="600"/>
        <w:jc w:val="center"/>
      </w:pPr>
      <w:r>
        <w:rPr>
          <w:color w:val="0A7B5A"/>
          <w:sz w:val="36"/>
          <w:szCs w:val="36"/>
        </w:rPr>
        <w:t xml:space="preserve">Guide de l’utilisateur</w:t>
      </w:r>
    </w:p>
    <w:p>
      <w:pPr>
        <w:spacing w:after="200"/>
        <w:jc w:val="center"/>
      </w:pPr>
      <w:r>
        <w:rPr>
          <w:sz w:val="26"/>
          <w:szCs w:val="26"/>
        </w:rPr>
        <w:t xml:space="preserve">Sensibiliser vos équipes au handicap au travail, simplement, gratuitement et en toute confidentialité.</w:t>
      </w:r>
    </w:p>
    <w:p>
      <w:pPr>
        <w:spacing w:before="1600"/>
        <w:jc w:val="center"/>
      </w:pPr>
      <w:r>
        <w:rPr>
          <w:color w:val="4A5A55"/>
        </w:rPr>
        <w:t xml:space="preserve">handiquizz.com · un service Popei Mimosa · édition SEEPH 2026</w:t>
      </w:r>
    </w:p>
    <w:p>
      <w:r>
        <w:br w:type="page"/>
      </w:r>
    </w:p>
    <w:p>
      <w:pPr>
        <w:pStyle w:val="Heading1"/>
      </w:pPr>
      <w:r>
        <w:t xml:space="preserve">Handiquizz en un coup d’œil</w:t>
      </w:r>
    </w:p>
    <w:p>
      <w:pPr>
        <w:spacing w:after="160" w:line="320"/>
      </w:pPr>
      <w:r>
        <w:t xml:space="preserve">Handiquizz (oui, avec 2 z !) est un outil gratuit qui permet à un référent ou une référente handicap, ou à un responsable diversité et inclusion, de créer en quelques minutes un quiz de sensibilisation sur l’inclusion des personnes en situation de handicap au travail, adapté au contexte culturel et réglementaire français.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left w:val="single" w:color="0A7B5A" w:sz="24"/>
              <w:bottom w:val="none"/>
              <w:right w:val="none"/>
            </w:tcBorders>
            <w:shd w:fill="FEE5A6" w:val="clear"/>
            <w:tcMar>
              <w:top w:type="dxa" w:w="160"/>
              <w:left w:type="dxa" w:w="240"/>
              <w:bottom w:type="dxa" w:w="160"/>
              <w:right w:type="dxa" w:w="240"/>
            </w:tcMar>
          </w:tcPr>
          <w:p>
            <w:pPr>
              <w:spacing w:after="100"/>
            </w:pPr>
            <w:r>
              <w:rPr>
                <w:b/>
                <w:bCs/>
                <w:color w:val="0B302A"/>
              </w:rPr>
              <w:t xml:space="preserve">En résumé</w:t>
            </w:r>
          </w:p>
          <w:p>
            <w:pPr>
              <w:spacing w:after="80" w:line="300"/>
            </w:pPr>
            <w:r>
              <w:t xml:space="preserve">• 100 questions prêtes à l’emploi, réparties en 10 thèmes, chacune avec une explication et une source officielle.</w:t>
            </w:r>
          </w:p>
          <w:p>
            <w:pPr>
              <w:spacing w:after="80" w:line="300"/>
            </w:pPr>
            <w:r>
              <w:t xml:space="preserve">• Un quiz créé en moins de 5 minutes, sans compétence technique.</w:t>
            </w:r>
          </w:p>
          <w:p>
            <w:pPr>
              <w:spacing w:after="80" w:line="300"/>
            </w:pPr>
            <w:r>
              <w:t xml:space="preserve">• Des réponses toujours anonymes, et des résultats par groupe uniquement à partir de 5 réponses.</w:t>
            </w:r>
          </w:p>
          <w:p>
            <w:pPr>
              <w:spacing w:after="80" w:line="300"/>
            </w:pPr>
            <w:r>
              <w:t xml:space="preserve">• Un outil pensé pour être utilisable par tous, y compris les personnes en situation de handicap.</w:t>
            </w:r>
          </w:p>
        </w:tc>
      </w:tr>
    </w:tbl>
    <w:p>
      <w:pPr>
        <w:spacing w:after="120"/>
      </w:pPr>
    </w:p>
    <w:p>
      <w:pPr>
        <w:pStyle w:val="Heading2"/>
      </w:pPr>
      <w:r>
        <w:t xml:space="preserve">Pour qui ?</w:t>
      </w:r>
    </w:p>
    <w:p>
      <w:pPr>
        <w:pStyle w:val="ListParagraph"/>
        <w:numPr>
          <w:ilvl w:val="0"/>
          <w:numId w:val="2"/>
        </w:numPr>
        <w:spacing w:after="100" w:line="300"/>
      </w:pPr>
      <w:r>
        <w:t xml:space="preserve">missions handicap, référents et référentes handicap ;</w:t>
      </w:r>
    </w:p>
    <w:p>
      <w:pPr>
        <w:pStyle w:val="ListParagraph"/>
        <w:numPr>
          <w:ilvl w:val="0"/>
          <w:numId w:val="2"/>
        </w:numPr>
        <w:spacing w:after="100" w:line="300"/>
      </w:pPr>
      <w:r>
        <w:t xml:space="preserve">responsables RH, diversité, équité et inclusion ;</w:t>
      </w:r>
    </w:p>
    <w:p>
      <w:pPr>
        <w:pStyle w:val="ListParagraph"/>
        <w:numPr>
          <w:ilvl w:val="0"/>
          <w:numId w:val="2"/>
        </w:numPr>
        <w:spacing w:after="100" w:line="300"/>
      </w:pPr>
      <w:r>
        <w:t xml:space="preserve">toute organisation qui prépare la SEEPH ou une action de sensibilisation.</w:t>
      </w:r>
    </w:p>
    <w:p>
      <w:pPr>
        <w:pStyle w:val="Heading1"/>
      </w:pPr>
      <w:r>
        <w:t xml:space="preserve">Démarrer en 4 étapes</w:t>
      </w:r>
    </w:p>
    <w:p>
      <w:pPr>
        <w:pStyle w:val="Heading2"/>
      </w:pPr>
      <w:r>
        <w:t xml:space="preserve">1. Inscrire votre entreprise</w:t>
      </w:r>
    </w:p>
    <w:p>
      <w:pPr>
        <w:spacing w:after="160" w:line="320"/>
      </w:pPr>
      <w:r>
        <w:t xml:space="preserve">Sur handiquizz.com, cliquez sur « Inscrire mon entreprise ». Indiquez votre adresse e-mail professionnelle, un mot de passe et le nom de votre organisation. Vous recevez un e-mail de confirmation : cliquez sur le lien, et votre espace est prêt.</w:t>
      </w:r>
    </w:p>
    <w:p>
      <w:pPr>
        <w:pStyle w:val="Heading2"/>
      </w:pPr>
      <w:r>
        <w:t xml:space="preserve">2. Personnaliser votre espace (facultatif)</w:t>
      </w:r>
    </w:p>
    <w:p>
      <w:pPr>
        <w:pStyle w:val="ListParagraph"/>
        <w:numPr>
          <w:ilvl w:val="0"/>
          <w:numId w:val="2"/>
        </w:numPr>
        <w:spacing w:after="100" w:line="300"/>
      </w:pPr>
      <w:r>
        <w:rPr>
          <w:b/>
          <w:bCs/>
        </w:rPr>
        <w:t xml:space="preserve">Logo : </w:t>
      </w:r>
      <w:r>
        <w:t xml:space="preserve">ajoutez le logo de votre organisation : il apparaîtra dans les e-mails d’invitation ;</w:t>
      </w:r>
    </w:p>
    <w:p>
      <w:pPr>
        <w:pStyle w:val="ListParagraph"/>
        <w:numPr>
          <w:ilvl w:val="0"/>
          <w:numId w:val="2"/>
        </w:numPr>
        <w:spacing w:after="100" w:line="300"/>
      </w:pPr>
      <w:r>
        <w:rPr>
          <w:b/>
          <w:bCs/>
        </w:rPr>
        <w:t xml:space="preserve">Couleurs : </w:t>
      </w:r>
      <w:r>
        <w:t xml:space="preserve">choisissez vos couleurs avec une pipette ou un code (ex. #0B302A). Handiquizz vous indique en temps réel si le contraste reste lisible pour tous, et vous propose de revenir à la palette d’origine en un clic.</w:t>
      </w:r>
    </w:p>
    <w:p>
      <w:pPr>
        <w:pStyle w:val="Heading2"/>
      </w:pPr>
      <w:r>
        <w:t xml:space="preserve">3. Créer un quiz</w:t>
      </w:r>
    </w:p>
    <w:p>
      <w:pPr>
        <w:pStyle w:val="ListParagraph"/>
        <w:numPr>
          <w:ilvl w:val="0"/>
          <w:numId w:val="3"/>
        </w:numPr>
        <w:spacing w:after="100" w:line="300"/>
      </w:pPr>
      <w:r>
        <w:t xml:space="preserve">Cliquez sur « Créer un quiz » et donnez-lui un titre.</w:t>
      </w:r>
    </w:p>
    <w:p>
      <w:pPr>
        <w:pStyle w:val="ListParagraph"/>
        <w:numPr>
          <w:ilvl w:val="0"/>
          <w:numId w:val="3"/>
        </w:numPr>
        <w:spacing w:after="100" w:line="300"/>
      </w:pPr>
      <w:r>
        <w:t xml:space="preserve">Rédigez, si vous le souhaitez, un message d’accueil et le texte de l’e-mail d’invitation (un texte par défaut est proposé).</w:t>
      </w:r>
    </w:p>
    <w:p>
      <w:pPr>
        <w:pStyle w:val="ListParagraph"/>
        <w:numPr>
          <w:ilvl w:val="0"/>
          <w:numId w:val="3"/>
        </w:numPr>
        <w:spacing w:after="100" w:line="300"/>
      </w:pPr>
      <w:r>
        <w:t xml:space="preserve">Choisissez les thèmes et le nombre de questions : 5, 10, 20… à vous de voir.</w:t>
      </w:r>
    </w:p>
    <w:p>
      <w:pPr>
        <w:pStyle w:val="ListParagraph"/>
        <w:numPr>
          <w:ilvl w:val="0"/>
          <w:numId w:val="3"/>
        </w:numPr>
        <w:spacing w:after="100" w:line="300"/>
      </w:pPr>
      <w:r>
        <w:t xml:space="preserve">Enregistrez : votre quiz est prêt.</w:t>
      </w:r>
    </w:p>
    <w:p>
      <w:pPr>
        <w:pStyle w:val="Heading2"/>
      </w:pPr>
      <w:r>
        <w:t xml:space="preserve">4. Diffuser le quiz</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tcBorders>
              <w:top w:val="single" w:color="C9D6D1" w:sz="4"/>
              <w:left w:val="single" w:color="C9D6D1" w:sz="4"/>
              <w:bottom w:val="single" w:color="C9D6D1" w:sz="4"/>
              <w:right w:val="single" w:color="C9D6D1" w:sz="4"/>
            </w:tcBorders>
            <w:shd w:fill="0B302A" w:val="clear"/>
            <w:tcMar>
              <w:top w:type="dxa" w:w="100"/>
              <w:left w:type="dxa" w:w="140"/>
              <w:bottom w:type="dxa" w:w="100"/>
              <w:right w:type="dxa" w:w="140"/>
            </w:tcMar>
          </w:tcPr>
          <w:p>
            <w:r>
              <w:rPr>
                <w:b/>
                <w:bCs/>
                <w:color w:val="FFFFFF"/>
              </w:rPr>
              <w:t xml:space="preserve">Mode de diffusion</w:t>
            </w:r>
          </w:p>
        </w:tc>
        <w:tc>
          <w:tcPr>
            <w:tcW w:type="dxa" w:w="6426"/>
            <w:tcBorders>
              <w:top w:val="single" w:color="C9D6D1" w:sz="4"/>
              <w:left w:val="single" w:color="C9D6D1" w:sz="4"/>
              <w:bottom w:val="single" w:color="C9D6D1" w:sz="4"/>
              <w:right w:val="single" w:color="C9D6D1" w:sz="4"/>
            </w:tcBorders>
            <w:shd w:fill="0B302A" w:val="clear"/>
            <w:tcMar>
              <w:top w:type="dxa" w:w="100"/>
              <w:left w:type="dxa" w:w="140"/>
              <w:bottom w:type="dxa" w:w="100"/>
              <w:right w:type="dxa" w:w="140"/>
            </w:tcMar>
          </w:tcPr>
          <w:p>
            <w:r>
              <w:rPr>
                <w:b/>
                <w:bCs/>
                <w:color w:val="FFFFFF"/>
              </w:rPr>
              <w:t xml:space="preserve">Comment ça marche</w:t>
            </w:r>
          </w:p>
        </w:tc>
      </w:tr>
      <w:tr>
        <w:trPr>
          <w:tblHeader w:val="off"/>
        </w:trPr>
        <w:tc>
          <w:tcPr>
            <w:tcW w:type="dxa" w:w="2600"/>
            <w:tcBorders>
              <w:top w:val="single" w:color="C9D6D1" w:sz="4"/>
              <w:left w:val="single" w:color="C9D6D1" w:sz="4"/>
              <w:bottom w:val="single" w:color="C9D6D1" w:sz="4"/>
              <w:right w:val="single" w:color="C9D6D1" w:sz="4"/>
            </w:tcBorders>
            <w:shd w:fill="F3F7F5" w:val="clear"/>
            <w:tcMar>
              <w:top w:type="dxa" w:w="100"/>
              <w:left w:type="dxa" w:w="140"/>
              <w:bottom w:type="dxa" w:w="100"/>
              <w:right w:type="dxa" w:w="140"/>
            </w:tcMar>
          </w:tcPr>
          <w:p>
            <w:r>
              <w:rPr>
                <w:b/>
                <w:bCs/>
                <w:color w:val="12211D"/>
              </w:rPr>
              <w:t xml:space="preserve">Lien partagé</w:t>
            </w:r>
          </w:p>
        </w:tc>
        <w:tc>
          <w:tcPr>
            <w:tcW w:type="dxa" w:w="6426"/>
            <w:tcBorders>
              <w:top w:val="single" w:color="C9D6D1" w:sz="4"/>
              <w:left w:val="single" w:color="C9D6D1" w:sz="4"/>
              <w:bottom w:val="single" w:color="C9D6D1" w:sz="4"/>
              <w:right w:val="single" w:color="C9D6D1" w:sz="4"/>
            </w:tcBorders>
            <w:shd w:fill="FFFFFF" w:val="clear"/>
            <w:tcMar>
              <w:top w:type="dxa" w:w="100"/>
              <w:left w:type="dxa" w:w="140"/>
              <w:bottom w:type="dxa" w:w="100"/>
              <w:right w:type="dxa" w:w="140"/>
            </w:tcMar>
          </w:tcPr>
          <w:p>
            <w:r>
              <w:rPr>
                <w:b w:val="false"/>
                <w:bCs w:val="false"/>
                <w:color w:val="12211D"/>
              </w:rPr>
              <w:t xml:space="preserve">Un lien unique, réutilisable autant de fois que nécessaire jusqu’à la date limite choisie. Idéal pour un intranet, une newsletter ou un écran en salle.</w:t>
            </w:r>
          </w:p>
        </w:tc>
      </w:tr>
      <w:tr>
        <w:trPr>
          <w:tblHeader w:val="off"/>
        </w:trPr>
        <w:tc>
          <w:tcPr>
            <w:tcW w:type="dxa" w:w="2600"/>
            <w:tcBorders>
              <w:top w:val="single" w:color="C9D6D1" w:sz="4"/>
              <w:left w:val="single" w:color="C9D6D1" w:sz="4"/>
              <w:bottom w:val="single" w:color="C9D6D1" w:sz="4"/>
              <w:right w:val="single" w:color="C9D6D1" w:sz="4"/>
            </w:tcBorders>
            <w:shd w:fill="F3F7F5" w:val="clear"/>
            <w:tcMar>
              <w:top w:type="dxa" w:w="100"/>
              <w:left w:type="dxa" w:w="140"/>
              <w:bottom w:type="dxa" w:w="100"/>
              <w:right w:type="dxa" w:w="140"/>
            </w:tcMar>
          </w:tcPr>
          <w:p>
            <w:r>
              <w:rPr>
                <w:b/>
                <w:bCs/>
                <w:color w:val="12211D"/>
              </w:rPr>
              <w:t xml:space="preserve">Liste de destinataires</w:t>
            </w:r>
          </w:p>
        </w:tc>
        <w:tc>
          <w:tcPr>
            <w:tcW w:type="dxa" w:w="6426"/>
            <w:tcBorders>
              <w:top w:val="single" w:color="C9D6D1" w:sz="4"/>
              <w:left w:val="single" w:color="C9D6D1" w:sz="4"/>
              <w:bottom w:val="single" w:color="C9D6D1" w:sz="4"/>
              <w:right w:val="single" w:color="C9D6D1" w:sz="4"/>
            </w:tcBorders>
            <w:shd w:fill="FFFFFF" w:val="clear"/>
            <w:tcMar>
              <w:top w:type="dxa" w:w="100"/>
              <w:left w:type="dxa" w:w="140"/>
              <w:bottom w:type="dxa" w:w="100"/>
              <w:right w:type="dxa" w:w="140"/>
            </w:tcMar>
          </w:tcPr>
          <w:p>
            <w:r>
              <w:rPr>
                <w:b w:val="false"/>
                <w:bCs w:val="false"/>
                <w:color w:val="12211D"/>
              </w:rPr>
              <w:t xml:space="preserve">Importez un fichier (CSV) avec les adresses e-mail et, si vous le souhaitez, des attributs (site, service, ancienneté…). Chaque personne reçoit un lien personnel utilisable une seule fois, jusqu’à la date limite.</w:t>
            </w:r>
          </w:p>
        </w:tc>
      </w:tr>
    </w:tbl>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left w:val="single" w:color="0A7B5A" w:sz="24"/>
              <w:bottom w:val="none"/>
              <w:right w:val="none"/>
            </w:tcBorders>
            <w:shd w:fill="FEE5A6" w:val="clear"/>
            <w:tcMar>
              <w:top w:type="dxa" w:w="160"/>
              <w:left w:type="dxa" w:w="240"/>
              <w:bottom w:type="dxa" w:w="160"/>
              <w:right w:type="dxa" w:w="240"/>
            </w:tcMar>
          </w:tcPr>
          <w:p>
            <w:pPr>
              <w:spacing w:after="100"/>
            </w:pPr>
            <w:r>
              <w:rPr>
                <w:b/>
                <w:bCs/>
                <w:color w:val="0B302A"/>
              </w:rPr>
              <w:t xml:space="preserve">Bon à savoir sur l’envoi des e-mails</w:t>
            </w:r>
          </w:p>
          <w:p>
            <w:pPr>
              <w:spacing w:after="80" w:line="300"/>
            </w:pPr>
            <w:r>
              <w:t xml:space="preserve">• Avant d’envoyer, vous pouvez prévisualiser l’e-mail et le quiz. Le lien d’aperçu peut être copié et transmis à un tiers pour validation : il n’enregistre aucune réponse.</w:t>
            </w:r>
          </w:p>
          <w:p>
            <w:pPr>
              <w:spacing w:after="80" w:line="300"/>
            </w:pPr>
            <w:r>
              <w:t xml:space="preserve">• Outil gratuit : 100 e-mails maximum par jour. Au-delà, les envois suivants partent automatiquement à 9 h 15 (heure de Paris), les jours ouvrés, hors week-ends et jours fériés.</w:t>
            </w:r>
          </w:p>
          <w:p>
            <w:pPr>
              <w:spacing w:after="80" w:line="300"/>
            </w:pPr>
            <w:r>
              <w:t xml:space="preserve">• Une vague validée ne peut plus être annulée ; les vagues des jours suivants peuvent l’être à tout moment.</w:t>
            </w:r>
          </w:p>
          <w:p>
            <w:pPr>
              <w:spacing w:after="80" w:line="300"/>
            </w:pPr>
            <w:r>
              <w:t xml:space="preserve">• Besoin de plus de 100 envois par jour ? Écrivez à contact@popei.fr.</w:t>
            </w:r>
          </w:p>
        </w:tc>
      </w:tr>
    </w:tbl>
    <w:p>
      <w:pPr>
        <w:pStyle w:val="Heading1"/>
      </w:pPr>
      <w:r>
        <w:t xml:space="preserve">Côté participant : simple et rassurant</w:t>
      </w:r>
    </w:p>
    <w:p>
      <w:pPr>
        <w:pStyle w:val="ListParagraph"/>
        <w:numPr>
          <w:ilvl w:val="0"/>
          <w:numId w:val="2"/>
        </w:numPr>
        <w:spacing w:after="100" w:line="300"/>
      </w:pPr>
      <w:r>
        <w:t xml:space="preserve">pas de compte à créer : un clic sur le lien suffit ;</w:t>
      </w:r>
    </w:p>
    <w:p>
      <w:pPr>
        <w:pStyle w:val="ListParagraph"/>
        <w:numPr>
          <w:ilvl w:val="0"/>
          <w:numId w:val="2"/>
        </w:numPr>
        <w:spacing w:after="100" w:line="300"/>
      </w:pPr>
      <w:r>
        <w:t xml:space="preserve">des questions à choix unique, multiples ou vrai/faux, utilisables au clavier et avec un lecteur d’écran ;</w:t>
      </w:r>
    </w:p>
    <w:p>
      <w:pPr>
        <w:pStyle w:val="ListParagraph"/>
        <w:numPr>
          <w:ilvl w:val="0"/>
          <w:numId w:val="2"/>
        </w:numPr>
        <w:spacing w:after="100" w:line="300"/>
      </w:pPr>
      <w:r>
        <w:t xml:space="preserve">à la fin, chaque participant voit son score et une correction détaillée, avec l’explication et la source officielle ;</w:t>
      </w:r>
    </w:p>
    <w:p>
      <w:pPr>
        <w:pStyle w:val="ListParagraph"/>
        <w:numPr>
          <w:ilvl w:val="0"/>
          <w:numId w:val="2"/>
        </w:numPr>
        <w:spacing w:after="100" w:line="300"/>
      </w:pPr>
      <w:r>
        <w:t xml:space="preserve">un mode « contraste renforcé » et une police très lisible (Atkinson Hyperlegible) sont disponibles.</w:t>
      </w:r>
    </w:p>
    <w:p>
      <w:pPr>
        <w:pStyle w:val="Heading1"/>
      </w:pPr>
      <w:r>
        <w:t xml:space="preserve">Suivre les résultats</w:t>
      </w:r>
    </w:p>
    <w:p>
      <w:pPr>
        <w:spacing w:after="160" w:line="320"/>
      </w:pPr>
      <w:r>
        <w:t xml:space="preserve">Le tableau de bord présente le taux de participation, le score moyen, les résultats par question, par thème et par groupe (selon les attributs importés). Chaque graphique est accompagné de son tableau de données, pour rester lisible sans la couleur et avec un lecteur d’écran.</w:t>
      </w:r>
    </w:p>
    <w:p>
      <w:pPr>
        <w:pStyle w:val="Heading1"/>
      </w:pPr>
      <w:r>
        <w:t xml:space="preserve">Sécurité et confidentialité</w:t>
      </w:r>
    </w:p>
    <w:p>
      <w:pPr>
        <w:spacing w:after="160" w:line="320"/>
      </w:pPr>
      <w:r>
        <w:t xml:space="preserve">La confiance de vos collaborateurs est essentielle. Handiquizz a été conçu pour la protéger.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tcBorders>
              <w:top w:val="single" w:color="C9D6D1" w:sz="4"/>
              <w:left w:val="single" w:color="C9D6D1" w:sz="4"/>
              <w:bottom w:val="single" w:color="C9D6D1" w:sz="4"/>
              <w:right w:val="single" w:color="C9D6D1" w:sz="4"/>
            </w:tcBorders>
            <w:shd w:fill="0B302A" w:val="clear"/>
            <w:tcMar>
              <w:top w:type="dxa" w:w="100"/>
              <w:left w:type="dxa" w:w="140"/>
              <w:bottom w:type="dxa" w:w="100"/>
              <w:right w:type="dxa" w:w="140"/>
            </w:tcMar>
          </w:tcPr>
          <w:p>
            <w:r>
              <w:rPr>
                <w:b/>
                <w:bCs/>
                <w:color w:val="FFFFFF"/>
              </w:rPr>
              <w:t xml:space="preserve">Garantie</w:t>
            </w:r>
          </w:p>
        </w:tc>
        <w:tc>
          <w:tcPr>
            <w:tcW w:type="dxa" w:w="6426"/>
            <w:tcBorders>
              <w:top w:val="single" w:color="C9D6D1" w:sz="4"/>
              <w:left w:val="single" w:color="C9D6D1" w:sz="4"/>
              <w:bottom w:val="single" w:color="C9D6D1" w:sz="4"/>
              <w:right w:val="single" w:color="C9D6D1" w:sz="4"/>
            </w:tcBorders>
            <w:shd w:fill="0B302A" w:val="clear"/>
            <w:tcMar>
              <w:top w:type="dxa" w:w="100"/>
              <w:left w:type="dxa" w:w="140"/>
              <w:bottom w:type="dxa" w:w="100"/>
              <w:right w:type="dxa" w:w="140"/>
            </w:tcMar>
          </w:tcPr>
          <w:p>
            <w:r>
              <w:rPr>
                <w:b/>
                <w:bCs/>
                <w:color w:val="FFFFFF"/>
              </w:rPr>
              <w:t xml:space="preserve">Ce que cela signifie</w:t>
            </w:r>
          </w:p>
        </w:tc>
      </w:tr>
      <w:tr>
        <w:trPr>
          <w:tblHeader w:val="off"/>
        </w:trPr>
        <w:tc>
          <w:tcPr>
            <w:tcW w:type="dxa" w:w="2600"/>
            <w:tcBorders>
              <w:top w:val="single" w:color="C9D6D1" w:sz="4"/>
              <w:left w:val="single" w:color="C9D6D1" w:sz="4"/>
              <w:bottom w:val="single" w:color="C9D6D1" w:sz="4"/>
              <w:right w:val="single" w:color="C9D6D1" w:sz="4"/>
            </w:tcBorders>
            <w:shd w:fill="F3F7F5" w:val="clear"/>
            <w:tcMar>
              <w:top w:type="dxa" w:w="100"/>
              <w:left w:type="dxa" w:w="140"/>
              <w:bottom w:type="dxa" w:w="100"/>
              <w:right w:type="dxa" w:w="140"/>
            </w:tcMar>
          </w:tcPr>
          <w:p>
            <w:r>
              <w:rPr>
                <w:b/>
                <w:bCs/>
                <w:color w:val="12211D"/>
              </w:rPr>
              <w:t xml:space="preserve">Anonymat des réponses</w:t>
            </w:r>
          </w:p>
        </w:tc>
        <w:tc>
          <w:tcPr>
            <w:tcW w:type="dxa" w:w="6426"/>
            <w:tcBorders>
              <w:top w:val="single" w:color="C9D6D1" w:sz="4"/>
              <w:left w:val="single" w:color="C9D6D1" w:sz="4"/>
              <w:bottom w:val="single" w:color="C9D6D1" w:sz="4"/>
              <w:right w:val="single" w:color="C9D6D1" w:sz="4"/>
            </w:tcBorders>
            <w:shd w:fill="FFFFFF" w:val="clear"/>
            <w:tcMar>
              <w:top w:type="dxa" w:w="100"/>
              <w:left w:type="dxa" w:w="140"/>
              <w:bottom w:type="dxa" w:w="100"/>
              <w:right w:type="dxa" w:w="140"/>
            </w:tcMar>
          </w:tcPr>
          <w:p>
            <w:r>
              <w:rPr>
                <w:b w:val="false"/>
                <w:bCs w:val="false"/>
                <w:color w:val="12211D"/>
              </w:rPr>
              <w:t xml:space="preserve">Les réponses ne sont jamais reliées à l’adresse e-mail. L’animateur sait qui a été invité, jamais qui a répondu quoi.</w:t>
            </w:r>
          </w:p>
        </w:tc>
      </w:tr>
      <w:tr>
        <w:trPr>
          <w:tblHeader w:val="off"/>
        </w:trPr>
        <w:tc>
          <w:tcPr>
            <w:tcW w:type="dxa" w:w="2600"/>
            <w:tcBorders>
              <w:top w:val="single" w:color="C9D6D1" w:sz="4"/>
              <w:left w:val="single" w:color="C9D6D1" w:sz="4"/>
              <w:bottom w:val="single" w:color="C9D6D1" w:sz="4"/>
              <w:right w:val="single" w:color="C9D6D1" w:sz="4"/>
            </w:tcBorders>
            <w:shd w:fill="F3F7F5" w:val="clear"/>
            <w:tcMar>
              <w:top w:type="dxa" w:w="100"/>
              <w:left w:type="dxa" w:w="140"/>
              <w:bottom w:type="dxa" w:w="100"/>
              <w:right w:type="dxa" w:w="140"/>
            </w:tcMar>
          </w:tcPr>
          <w:p>
            <w:r>
              <w:rPr>
                <w:b/>
                <w:bCs/>
                <w:color w:val="12211D"/>
              </w:rPr>
              <w:t xml:space="preserve">Seuil de 5 réponses</w:t>
            </w:r>
          </w:p>
        </w:tc>
        <w:tc>
          <w:tcPr>
            <w:tcW w:type="dxa" w:w="6426"/>
            <w:tcBorders>
              <w:top w:val="single" w:color="C9D6D1" w:sz="4"/>
              <w:left w:val="single" w:color="C9D6D1" w:sz="4"/>
              <w:bottom w:val="single" w:color="C9D6D1" w:sz="4"/>
              <w:right w:val="single" w:color="C9D6D1" w:sz="4"/>
            </w:tcBorders>
            <w:shd w:fill="FFFFFF" w:val="clear"/>
            <w:tcMar>
              <w:top w:type="dxa" w:w="100"/>
              <w:left w:type="dxa" w:w="140"/>
              <w:bottom w:type="dxa" w:w="100"/>
              <w:right w:type="dxa" w:w="140"/>
            </w:tcMar>
          </w:tcPr>
          <w:p>
            <w:r>
              <w:rPr>
                <w:b w:val="false"/>
                <w:bCs w:val="false"/>
                <w:color w:val="12211D"/>
              </w:rPr>
              <w:t xml:space="preserve">Un groupe qui compte moins de 5 réponses n’est jamais affiché, pour empêcher toute ré-identification.</w:t>
            </w:r>
          </w:p>
        </w:tc>
      </w:tr>
      <w:tr>
        <w:trPr>
          <w:tblHeader w:val="off"/>
        </w:trPr>
        <w:tc>
          <w:tcPr>
            <w:tcW w:type="dxa" w:w="2600"/>
            <w:tcBorders>
              <w:top w:val="single" w:color="C9D6D1" w:sz="4"/>
              <w:left w:val="single" w:color="C9D6D1" w:sz="4"/>
              <w:bottom w:val="single" w:color="C9D6D1" w:sz="4"/>
              <w:right w:val="single" w:color="C9D6D1" w:sz="4"/>
            </w:tcBorders>
            <w:shd w:fill="F3F7F5" w:val="clear"/>
            <w:tcMar>
              <w:top w:type="dxa" w:w="100"/>
              <w:left w:type="dxa" w:w="140"/>
              <w:bottom w:type="dxa" w:w="100"/>
              <w:right w:type="dxa" w:w="140"/>
            </w:tcMar>
          </w:tcPr>
          <w:p>
            <w:r>
              <w:rPr>
                <w:b/>
                <w:bCs/>
                <w:color w:val="12211D"/>
              </w:rPr>
              <w:t xml:space="preserve">Liens sécurisés</w:t>
            </w:r>
          </w:p>
        </w:tc>
        <w:tc>
          <w:tcPr>
            <w:tcW w:type="dxa" w:w="6426"/>
            <w:tcBorders>
              <w:top w:val="single" w:color="C9D6D1" w:sz="4"/>
              <w:left w:val="single" w:color="C9D6D1" w:sz="4"/>
              <w:bottom w:val="single" w:color="C9D6D1" w:sz="4"/>
              <w:right w:val="single" w:color="C9D6D1" w:sz="4"/>
            </w:tcBorders>
            <w:shd w:fill="FFFFFF" w:val="clear"/>
            <w:tcMar>
              <w:top w:type="dxa" w:w="100"/>
              <w:left w:type="dxa" w:w="140"/>
              <w:bottom w:type="dxa" w:w="100"/>
              <w:right w:type="dxa" w:w="140"/>
            </w:tcMar>
          </w:tcPr>
          <w:p>
            <w:r>
              <w:rPr>
                <w:b w:val="false"/>
                <w:bCs w:val="false"/>
                <w:color w:val="12211D"/>
              </w:rPr>
              <w:t xml:space="preserve">Chaque lien contient un jeton unique et imprévisible, limité dans le temps ; les liens personnels ne fonctionnent qu’une fois.</w:t>
            </w:r>
          </w:p>
        </w:tc>
      </w:tr>
      <w:tr>
        <w:trPr>
          <w:tblHeader w:val="off"/>
        </w:trPr>
        <w:tc>
          <w:tcPr>
            <w:tcW w:type="dxa" w:w="2600"/>
            <w:tcBorders>
              <w:top w:val="single" w:color="C9D6D1" w:sz="4"/>
              <w:left w:val="single" w:color="C9D6D1" w:sz="4"/>
              <w:bottom w:val="single" w:color="C9D6D1" w:sz="4"/>
              <w:right w:val="single" w:color="C9D6D1" w:sz="4"/>
            </w:tcBorders>
            <w:shd w:fill="F3F7F5" w:val="clear"/>
            <w:tcMar>
              <w:top w:type="dxa" w:w="100"/>
              <w:left w:type="dxa" w:w="140"/>
              <w:bottom w:type="dxa" w:w="100"/>
              <w:right w:type="dxa" w:w="140"/>
            </w:tcMar>
          </w:tcPr>
          <w:p>
            <w:r>
              <w:rPr>
                <w:b/>
                <w:bCs/>
                <w:color w:val="12211D"/>
              </w:rPr>
              <w:t xml:space="preserve">Bonnes réponses protégées</w:t>
            </w:r>
          </w:p>
        </w:tc>
        <w:tc>
          <w:tcPr>
            <w:tcW w:type="dxa" w:w="6426"/>
            <w:tcBorders>
              <w:top w:val="single" w:color="C9D6D1" w:sz="4"/>
              <w:left w:val="single" w:color="C9D6D1" w:sz="4"/>
              <w:bottom w:val="single" w:color="C9D6D1" w:sz="4"/>
              <w:right w:val="single" w:color="C9D6D1" w:sz="4"/>
            </w:tcBorders>
            <w:shd w:fill="FFFFFF" w:val="clear"/>
            <w:tcMar>
              <w:top w:type="dxa" w:w="100"/>
              <w:left w:type="dxa" w:w="140"/>
              <w:bottom w:type="dxa" w:w="100"/>
              <w:right w:type="dxa" w:w="140"/>
            </w:tcMar>
          </w:tcPr>
          <w:p>
            <w:r>
              <w:rPr>
                <w:b w:val="false"/>
                <w:bCs w:val="false"/>
                <w:color w:val="12211D"/>
              </w:rPr>
              <w:t xml:space="preserve">Les corrections ne sont envoyées au navigateur qu’après la validation du quiz : impossible de tricher en inspectant la page.</w:t>
            </w:r>
          </w:p>
        </w:tc>
      </w:tr>
      <w:tr>
        <w:trPr>
          <w:tblHeader w:val="off"/>
        </w:trPr>
        <w:tc>
          <w:tcPr>
            <w:tcW w:type="dxa" w:w="2600"/>
            <w:tcBorders>
              <w:top w:val="single" w:color="C9D6D1" w:sz="4"/>
              <w:left w:val="single" w:color="C9D6D1" w:sz="4"/>
              <w:bottom w:val="single" w:color="C9D6D1" w:sz="4"/>
              <w:right w:val="single" w:color="C9D6D1" w:sz="4"/>
            </w:tcBorders>
            <w:shd w:fill="F3F7F5" w:val="clear"/>
            <w:tcMar>
              <w:top w:type="dxa" w:w="100"/>
              <w:left w:type="dxa" w:w="140"/>
              <w:bottom w:type="dxa" w:w="100"/>
              <w:right w:type="dxa" w:w="140"/>
            </w:tcMar>
          </w:tcPr>
          <w:p>
            <w:r>
              <w:rPr>
                <w:b/>
                <w:bCs/>
                <w:color w:val="12211D"/>
              </w:rPr>
              <w:t xml:space="preserve">Cloisonnement</w:t>
            </w:r>
          </w:p>
        </w:tc>
        <w:tc>
          <w:tcPr>
            <w:tcW w:type="dxa" w:w="6426"/>
            <w:tcBorders>
              <w:top w:val="single" w:color="C9D6D1" w:sz="4"/>
              <w:left w:val="single" w:color="C9D6D1" w:sz="4"/>
              <w:bottom w:val="single" w:color="C9D6D1" w:sz="4"/>
              <w:right w:val="single" w:color="C9D6D1" w:sz="4"/>
            </w:tcBorders>
            <w:shd w:fill="FFFFFF" w:val="clear"/>
            <w:tcMar>
              <w:top w:type="dxa" w:w="100"/>
              <w:left w:type="dxa" w:w="140"/>
              <w:bottom w:type="dxa" w:w="100"/>
              <w:right w:type="dxa" w:w="140"/>
            </w:tcMar>
          </w:tcPr>
          <w:p>
            <w:r>
              <w:rPr>
                <w:b w:val="false"/>
                <w:bCs w:val="false"/>
                <w:color w:val="12211D"/>
              </w:rPr>
              <w:t xml:space="preserve">Chaque organisation n’accède qu’à ses propres quiz, destinataires et résultats. Votre logo est stocké de façon privée.</w:t>
            </w:r>
          </w:p>
        </w:tc>
      </w:tr>
      <w:tr>
        <w:trPr>
          <w:tblHeader w:val="off"/>
        </w:trPr>
        <w:tc>
          <w:tcPr>
            <w:tcW w:type="dxa" w:w="2600"/>
            <w:tcBorders>
              <w:top w:val="single" w:color="C9D6D1" w:sz="4"/>
              <w:left w:val="single" w:color="C9D6D1" w:sz="4"/>
              <w:bottom w:val="single" w:color="C9D6D1" w:sz="4"/>
              <w:right w:val="single" w:color="C9D6D1" w:sz="4"/>
            </w:tcBorders>
            <w:shd w:fill="F3F7F5" w:val="clear"/>
            <w:tcMar>
              <w:top w:type="dxa" w:w="100"/>
              <w:left w:type="dxa" w:w="140"/>
              <w:bottom w:type="dxa" w:w="100"/>
              <w:right w:type="dxa" w:w="140"/>
            </w:tcMar>
          </w:tcPr>
          <w:p>
            <w:r>
              <w:rPr>
                <w:b/>
                <w:bCs/>
                <w:color w:val="12211D"/>
              </w:rPr>
              <w:t xml:space="preserve">Connexion chiffrée</w:t>
            </w:r>
          </w:p>
        </w:tc>
        <w:tc>
          <w:tcPr>
            <w:tcW w:type="dxa" w:w="6426"/>
            <w:tcBorders>
              <w:top w:val="single" w:color="C9D6D1" w:sz="4"/>
              <w:left w:val="single" w:color="C9D6D1" w:sz="4"/>
              <w:bottom w:val="single" w:color="C9D6D1" w:sz="4"/>
              <w:right w:val="single" w:color="C9D6D1" w:sz="4"/>
            </w:tcBorders>
            <w:shd w:fill="FFFFFF" w:val="clear"/>
            <w:tcMar>
              <w:top w:type="dxa" w:w="100"/>
              <w:left w:type="dxa" w:w="140"/>
              <w:bottom w:type="dxa" w:w="100"/>
              <w:right w:type="dxa" w:w="140"/>
            </w:tcMar>
          </w:tcPr>
          <w:p>
            <w:r>
              <w:rPr>
                <w:b w:val="false"/>
                <w:bCs w:val="false"/>
                <w:color w:val="12211D"/>
              </w:rPr>
              <w:t xml:space="preserve">Tous les échanges passent en HTTPS. Les mots de passe ne sont jamais stockés en clair.</w:t>
            </w:r>
          </w:p>
        </w:tc>
      </w:tr>
    </w:tbl>
    <w:p>
      <w:pPr>
        <w:spacing w:after="120"/>
      </w:pPr>
    </w:p>
    <w:p>
      <w:pPr>
        <w:pStyle w:val="Heading1"/>
      </w:pPr>
      <w:r>
        <w:t xml:space="preserve">Accessibilité</w:t>
      </w:r>
    </w:p>
    <w:p>
      <w:pPr>
        <w:spacing w:after="160" w:line="320"/>
      </w:pPr>
      <w:r>
        <w:t xml:space="preserve">Handiquizz vise le niveau AA du RGAA et des WCAG 2.2 :</w:t>
      </w:r>
    </w:p>
    <w:p>
      <w:pPr>
        <w:pStyle w:val="ListParagraph"/>
        <w:numPr>
          <w:ilvl w:val="0"/>
          <w:numId w:val="2"/>
        </w:numPr>
        <w:spacing w:after="100" w:line="300"/>
      </w:pPr>
      <w:r>
        <w:t xml:space="preserve">navigation complète au clavier et compatibilité avec les lecteurs d’écran ;</w:t>
      </w:r>
    </w:p>
    <w:p>
      <w:pPr>
        <w:pStyle w:val="ListParagraph"/>
        <w:numPr>
          <w:ilvl w:val="0"/>
          <w:numId w:val="2"/>
        </w:numPr>
        <w:spacing w:after="100" w:line="300"/>
      </w:pPr>
      <w:r>
        <w:t xml:space="preserve">aucune information transmise par la seule couleur (icônes et textes systématiques), pour les personnes daltoniennes ;</w:t>
      </w:r>
    </w:p>
    <w:p>
      <w:pPr>
        <w:pStyle w:val="ListParagraph"/>
        <w:numPr>
          <w:ilvl w:val="0"/>
          <w:numId w:val="2"/>
        </w:numPr>
        <w:spacing w:after="100" w:line="300"/>
      </w:pPr>
      <w:r>
        <w:t xml:space="preserve">contrastes vérifiés, y compris lorsque vous personnalisez vos couleurs ;</w:t>
      </w:r>
    </w:p>
    <w:p>
      <w:pPr>
        <w:pStyle w:val="ListParagraph"/>
        <w:numPr>
          <w:ilvl w:val="0"/>
          <w:numId w:val="2"/>
        </w:numPr>
        <w:spacing w:after="100" w:line="300"/>
      </w:pPr>
      <w:r>
        <w:t xml:space="preserve">aucun contenu sonore indispensable : le service est pleinement utilisable par les personnes sourdes ou malentendantes.</w:t>
      </w:r>
    </w:p>
    <w:p>
      <w:pPr>
        <w:pStyle w:val="Heading1"/>
      </w:pPr>
      <w:r>
        <w:t xml:space="preserve">Questions fréquentes</w:t>
      </w:r>
    </w:p>
    <w:p>
      <w:pPr>
        <w:spacing w:after="60"/>
      </w:pPr>
      <w:r>
        <w:rPr>
          <w:b/>
          <w:bCs/>
          <w:color w:val="0B302A"/>
        </w:rPr>
        <w:t xml:space="preserve">Est-ce vraiment gratuit ?</w:t>
      </w:r>
    </w:p>
    <w:p>
      <w:pPr>
        <w:spacing w:after="160" w:line="320"/>
      </w:pPr>
      <w:r>
        <w:t xml:space="preserve">Oui, sans engagement ni carte bancaire.</w:t>
      </w:r>
    </w:p>
    <w:p>
      <w:pPr>
        <w:spacing w:after="60"/>
      </w:pPr>
      <w:r>
        <w:rPr>
          <w:b/>
          <w:bCs/>
          <w:color w:val="0B302A"/>
        </w:rPr>
        <w:t xml:space="preserve">Puis-je modifier les questions ?</w:t>
      </w:r>
    </w:p>
    <w:p>
      <w:pPr>
        <w:spacing w:after="160" w:line="320"/>
      </w:pPr>
      <w:r>
        <w:t xml:space="preserve">Vous choisissez librement les thèmes et le nombre de questions dans la bibliothèque, relue à partir de sources officielles (Agefiph, service-public.fr, etc.).</w:t>
      </w:r>
    </w:p>
    <w:p>
      <w:pPr>
        <w:spacing w:after="60"/>
      </w:pPr>
      <w:r>
        <w:rPr>
          <w:b/>
          <w:bCs/>
          <w:color w:val="0B302A"/>
        </w:rPr>
        <w:t xml:space="preserve">Un participant peut-il refaire le quiz ?</w:t>
      </w:r>
    </w:p>
    <w:p>
      <w:pPr>
        <w:spacing w:after="160" w:line="320"/>
      </w:pPr>
      <w:r>
        <w:t xml:space="preserve">Avec un lien partagé, oui. Avec un lien personnel, une seule fois.</w:t>
      </w:r>
    </w:p>
    <w:p>
      <w:pPr>
        <w:spacing w:after="60"/>
      </w:pPr>
      <w:r>
        <w:rPr>
          <w:b/>
          <w:bCs/>
          <w:color w:val="0B302A"/>
        </w:rPr>
        <w:t xml:space="preserve">Qui contacter ?</w:t>
      </w:r>
    </w:p>
    <w:p>
      <w:r>
        <w:t xml:space="preserve">Écrivez-nous à </w:t>
      </w:r>
      <w:hyperlink w:history="1" r:id="rIdzfkuvahrjma_7cvzuelye">
        <w:r>
          <w:rPr>
            <w:rStyle w:val="Hyperlink"/>
          </w:rPr>
          <w:t xml:space="preserve">contact@popei.fr</w:t>
        </w:r>
      </w:hyperlink>
      <w:r>
        <w:t xml:space="preserve"> ou découvrez Mimosa sur </w:t>
      </w:r>
      <w:hyperlink w:history="1" r:id="rIdo0-qldqu5bqsxpkgpd5f2">
        <w:r>
          <w:rPr>
            <w:rStyle w:val="Hyperlink"/>
          </w:rPr>
          <w:t xml:space="preserve">popei.fr/mimosa</w:t>
        </w:r>
      </w:hyperlink>
      <w:r>
        <w:t xml:space="preserve">.</w:t>
      </w:r>
    </w:p>
    <w:sectPr>
      <w:footerReference w:type="default" r:id="rId6"/>
      <w:pgSz w:w="11906" w:h="16838" w:orient="portrait"/>
      <w:pgMar w:top="1300" w:right="1440" w:bottom="13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5A55"/>
        <w:sz w:val="18"/>
        <w:szCs w:val="18"/>
      </w:rPr>
      <w:t xml:space="preserve">Handiquizz — Guide de l’utilisateur · page </w:t>
    </w:r>
    <w:r>
      <w:rPr>
        <w:color w:val="4A5A55"/>
        <w:sz w:val="18"/>
        <w:szCs w:val="18"/>
      </w:rPr>
      <w:fldChar w:fldCharType="begin"/>
    </w:r>
    <w:r>
      <w:rPr>
        <w:color w:val="4A5A55"/>
        <w:sz w:val="18"/>
        <w:szCs w:val="18"/>
      </w:rPr>
      <w:instrText xml:space="preserve">PAGE</w:instrText>
    </w:r>
    <w:r>
      <w:rPr>
        <w:color w:val="4A5A55"/>
        <w:sz w:val="18"/>
        <w:szCs w:val="18"/>
      </w:rPr>
      <w:fldChar w:fldCharType="separate"/>
    </w:r>
    <w:r>
      <w:rPr>
        <w:color w:val="4A5A55"/>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2211D"/>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E3AF0C" w:sz="12" w:space="4"/>
      </w:pBdr>
      <w:spacing w:after="200" w:before="400"/>
      <w:outlineLvl w:val="0"/>
    </w:pPr>
    <w:rPr>
      <w:rFonts w:ascii="Montserrat" w:cs="Montserrat" w:eastAsia="Montserrat" w:hAnsi="Montserrat"/>
      <w:b/>
      <w:bCs/>
      <w:color w:val="0B302A"/>
      <w:sz w:val="34"/>
      <w:szCs w:val="34"/>
    </w:rPr>
  </w:style>
  <w:style w:type="paragraph" w:styleId="Heading2">
    <w:name w:val="Heading 2"/>
    <w:basedOn w:val="Normal"/>
    <w:next w:val="Normal"/>
    <w:qFormat/>
    <w:pPr>
      <w:spacing w:after="120" w:before="240"/>
      <w:outlineLvl w:val="1"/>
    </w:pPr>
    <w:rPr>
      <w:rFonts w:ascii="Montserrat" w:cs="Montserrat" w:eastAsia="Montserrat" w:hAnsi="Montserrat"/>
      <w:b/>
      <w:bCs/>
      <w:color w:val="0A7B5A"/>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zfkuvahrjma_7cvzuelye" Type="http://schemas.openxmlformats.org/officeDocument/2006/relationships/hyperlink" Target="mailto:contact@popei.fr" TargetMode="External"/><Relationship Id="rIdo0-qldqu5bqsxpkgpd5f2" Type="http://schemas.openxmlformats.org/officeDocument/2006/relationships/hyperlink" Target="https://www.popei.fr/mimosa" TargetMode="External"/><Relationship Id="rId10" Type="http://schemas.openxmlformats.org/officeDocument/2006/relationships/image" Target="media/7640242e1eea8c35b43eb666667dbea5be97de90.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Handiquizz — Guide de l’utilisateur</dc:title>
  <dc:creator>Popei Mimosa</dc:creator>
  <cp:lastModifiedBy>Un-named</cp:lastModifiedBy>
  <cp:revision>1</cp:revision>
  <dcterms:created xsi:type="dcterms:W3CDTF">2026-10-21T08:37:02.332Z</dcterms:created>
  <dcterms:modified xsi:type="dcterms:W3CDTF">2026-10-21T08:37:02.332Z</dcterms:modified>
</cp:coreProperties>
</file>

<file path=docProps/custom.xml><?xml version="1.0" encoding="utf-8"?>
<Properties xmlns="http://schemas.openxmlformats.org/officeDocument/2006/custom-properties" xmlns:vt="http://schemas.openxmlformats.org/officeDocument/2006/docPropsVTypes"/>
</file>